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pPr>
        <w:pStyle w:val="Heading2"/>
        <w:rPr>
          <w:b w:val="0"/>
          <w:bCs/>
          <w:color w:val="auto"/>
          <w:sz w:val="24"/>
          <w:szCs w:val="24"/>
        </w:rPr>
      </w:pPr>
      <w:r>
        <w:rPr>
          <w:b w:val="0"/>
          <w:bCs/>
          <w:color w:val="auto"/>
          <w:sz w:val="24"/>
          <w:szCs w:val="24"/>
        </w:rPr>
        <w:t xml:space="preserve">This statement details our school’s use of pupil premium (and recovery premium for the 2023 to 2024 academic year) funding to help improve the attainment of our disadvantaged pupils. </w:t>
      </w:r>
    </w:p>
    <w:p>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Data</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Holy Family Catholic Primary School</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176</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bookmarkStart w:id="14" w:name="_GoBack"/>
            <w:bookmarkEnd w:id="14"/>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 xml:space="preserve"> 22%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2021-2024</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6.12.22</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January 2024</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Janet Westray</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Janet Westray</w:t>
            </w:r>
          </w:p>
        </w:tc>
      </w:tr>
      <w:tr>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Maureen Hefferan</w:t>
            </w:r>
          </w:p>
        </w:tc>
      </w:tr>
    </w:tbl>
    <w:bookmarkEnd w:id="2"/>
    <w:bookmarkEnd w:id="3"/>
    <w:bookmarkEnd w:id="4"/>
    <w:p>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pPr>
              <w:pStyle w:val="TableRow"/>
            </w:pPr>
            <w:r>
              <w:rPr>
                <w:b/>
              </w:rPr>
              <w:t>Amount</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£43,650</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  4,386</w:t>
            </w:r>
          </w:p>
        </w:tc>
      </w:tr>
      <w:tr>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£0</w:t>
            </w:r>
          </w:p>
        </w:tc>
      </w:tr>
      <w:t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b/>
              </w:rPr>
            </w:pPr>
            <w:r>
              <w:rPr>
                <w:b/>
              </w:rPr>
              <w:t>Total budget for this academic year</w:t>
            </w:r>
          </w:p>
          <w:p>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£48,036</w:t>
            </w:r>
          </w:p>
        </w:tc>
      </w:tr>
    </w:tbl>
    <w:p>
      <w:pPr>
        <w:pStyle w:val="Heading1"/>
      </w:pPr>
      <w:r>
        <w:lastRenderedPageBreak/>
        <w:t>Part A: Pupil premium strategy plan</w:t>
      </w:r>
    </w:p>
    <w:p>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ListParagraph"/>
              <w:numPr>
                <w:ilvl w:val="0"/>
                <w:numId w:val="0"/>
              </w:numPr>
              <w:ind w:left="720"/>
            </w:pPr>
            <w:r>
              <w:rPr>
                <w:iCs/>
              </w:rPr>
              <w:t xml:space="preserve">We want children who are disadvantaged to be confident and aspirational.  We want them to have a voice and enjoy being lifelong learners.  </w:t>
            </w:r>
            <w:r>
              <w:t>We want attainment to be at the same level as children who are not disadvantaged.</w:t>
            </w:r>
          </w:p>
          <w:p>
            <w:pPr>
              <w:pStyle w:val="ListParagraph"/>
              <w:numPr>
                <w:ilvl w:val="0"/>
                <w:numId w:val="0"/>
              </w:numPr>
              <w:ind w:left="720"/>
            </w:pPr>
          </w:p>
          <w:p>
            <w:pPr>
              <w:pStyle w:val="ListParagraph"/>
              <w:numPr>
                <w:ilvl w:val="0"/>
                <w:numId w:val="0"/>
              </w:numPr>
              <w:ind w:left="720"/>
            </w:pPr>
            <w:r>
              <w:t>We aim to achieve this through:</w:t>
            </w:r>
          </w:p>
          <w:p>
            <w:pPr>
              <w:pStyle w:val="ListParagraph"/>
              <w:numPr>
                <w:ilvl w:val="0"/>
                <w:numId w:val="0"/>
              </w:numPr>
              <w:ind w:left="720"/>
            </w:pPr>
            <w:r>
              <w:t>Great teaching – teachers who understand the barriers and challenges disadvantaged pupils face</w:t>
            </w:r>
          </w:p>
          <w:p>
            <w:pPr>
              <w:pStyle w:val="ListParagraph"/>
              <w:numPr>
                <w:ilvl w:val="0"/>
                <w:numId w:val="0"/>
              </w:numPr>
              <w:ind w:left="720"/>
            </w:pPr>
            <w:r>
              <w:t>Early intervention based in individual need</w:t>
            </w:r>
          </w:p>
          <w:p>
            <w:pPr>
              <w:pStyle w:val="ListParagraph"/>
              <w:numPr>
                <w:ilvl w:val="0"/>
                <w:numId w:val="0"/>
              </w:numPr>
              <w:ind w:left="720"/>
            </w:pPr>
            <w:r>
              <w:t>All staff understand that they are responsible for disadvantaged pupils’ outcomes</w:t>
            </w:r>
          </w:p>
          <w:p>
            <w:pPr>
              <w:pStyle w:val="ListParagraph"/>
              <w:numPr>
                <w:ilvl w:val="0"/>
                <w:numId w:val="0"/>
              </w:numPr>
              <w:ind w:left="720"/>
              <w:rPr>
                <w:i/>
                <w:iCs/>
              </w:rPr>
            </w:pPr>
            <w:r>
              <w:t>Having high aspirations and challenge for disadvantaged pupils.</w:t>
            </w:r>
          </w:p>
        </w:tc>
      </w:tr>
    </w:tbl>
    <w:p>
      <w:pPr>
        <w:pStyle w:val="Heading2"/>
        <w:spacing w:before="600"/>
      </w:pPr>
      <w:r>
        <w:t>Challenges</w:t>
      </w:r>
    </w:p>
    <w:p>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 xml:space="preserve">Detail of challenge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ind w:left="0"/>
              <w:jc w:val="left"/>
            </w:pPr>
            <w:r>
              <w:rPr>
                <w:color w:val="auto"/>
                <w:lang w:val="en-US"/>
              </w:rPr>
              <w:t xml:space="preserve">Assessments, observations, and discussions with pupils suggest disadvantaged pupils generally have greater difficulties in reading, writing and maths than their peers. </w:t>
            </w:r>
            <w:r>
              <w:rPr>
                <w:rFonts w:cs="Arial"/>
                <w:iCs/>
                <w:color w:val="auto"/>
              </w:rPr>
              <w:t>The education and wellbeing of m</w:t>
            </w:r>
            <w:r>
              <w:rPr>
                <w:rFonts w:cs="Arial"/>
                <w:color w:val="auto"/>
              </w:rPr>
              <w:t>any of our disadvantaged pupils have been impacted by partial school closures to a greater extent than for other pupils.</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Cs w:val="24"/>
              </w:rPr>
            </w:pPr>
            <w:r>
              <w:rPr>
                <w:szCs w:val="24"/>
              </w:rPr>
              <w:t>Poor speaking and listening skills and poor vocabulary evidenced through pupil discussions, day to day teaching and assessments from EYFS to Y6.</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line="240" w:lineRule="auto"/>
              <w:ind w:left="57" w:right="57"/>
              <w:rPr>
                <w:rFonts w:cs="Arial"/>
                <w:iCs/>
                <w:color w:val="auto"/>
                <w:lang w:val="en-US"/>
              </w:rPr>
            </w:pPr>
            <w:r>
              <w:rPr>
                <w:rFonts w:cs="Arial"/>
                <w:iCs/>
                <w:color w:val="auto"/>
                <w:lang w:val="en-US"/>
              </w:rPr>
              <w:t>Our observations, surveys and discussions with pupils and families have identified social and emotional issues for many pupils, due to a lack of enrichment opportunities during school closure. These challenges particularly affect disadvantaged pupils, including their attainment.</w:t>
            </w:r>
          </w:p>
          <w:p>
            <w:pPr>
              <w:pStyle w:val="TableRowCentered"/>
              <w:jc w:val="left"/>
              <w:rPr>
                <w:sz w:val="22"/>
                <w:szCs w:val="22"/>
              </w:rPr>
            </w:pPr>
            <w:r>
              <w:rPr>
                <w:rFonts w:cs="Arial"/>
                <w:color w:val="auto"/>
                <w:lang w:eastAsia="en-US"/>
              </w:rPr>
              <w:t xml:space="preserve">Referrals for play therapy support have increased during the pandemic. Currently six pupils (four of whom are disadvantaged) currently require additional support with social and emotional needs. </w:t>
            </w:r>
          </w:p>
        </w:tc>
      </w:tr>
      <w:tr>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120" w:line="240" w:lineRule="auto"/>
              <w:ind w:left="57" w:right="57"/>
              <w:rPr>
                <w:rFonts w:cs="Arial"/>
                <w:iCs/>
                <w:color w:val="auto"/>
                <w:lang w:val="en-US"/>
              </w:rPr>
            </w:pPr>
            <w:r>
              <w:rPr>
                <w:rFonts w:cs="Arial"/>
                <w:iCs/>
                <w:color w:val="auto"/>
                <w:lang w:val="en-US"/>
              </w:rPr>
              <w:t xml:space="preserve">Our attendance data indicates that persistent absence among disadvantaged pupils has been similar to that of other pupils in 19/20 and 20/21. </w:t>
            </w:r>
          </w:p>
          <w:p>
            <w:pPr>
              <w:suppressAutoHyphens w:val="0"/>
              <w:autoSpaceDN/>
              <w:spacing w:before="60" w:after="120" w:line="240" w:lineRule="auto"/>
              <w:ind w:left="57" w:right="57"/>
              <w:rPr>
                <w:rFonts w:cs="Arial"/>
                <w:iCs/>
                <w:color w:val="auto"/>
                <w:lang w:val="en-US"/>
              </w:rPr>
            </w:pPr>
          </w:p>
          <w:p>
            <w:pPr>
              <w:suppressAutoHyphens w:val="0"/>
              <w:autoSpaceDN/>
              <w:spacing w:before="60" w:after="120" w:line="240" w:lineRule="auto"/>
              <w:ind w:left="57" w:right="57"/>
              <w:rPr>
                <w:rFonts w:cs="Arial"/>
                <w:iCs/>
                <w:color w:val="auto"/>
                <w:lang w:val="en-US"/>
              </w:rPr>
            </w:pPr>
            <w:r>
              <w:rPr>
                <w:rFonts w:cs="Arial"/>
                <w:iCs/>
                <w:color w:val="auto"/>
                <w:lang w:val="en-US"/>
              </w:rPr>
              <w:lastRenderedPageBreak/>
              <w:t>In the school year 21/22 disadvantaged pupils’ persistent absence was 21% higher than for non-disadvantaged pupils.</w:t>
            </w:r>
          </w:p>
          <w:p>
            <w:pPr>
              <w:suppressAutoHyphens w:val="0"/>
              <w:autoSpaceDN/>
              <w:spacing w:before="60" w:after="120" w:line="240" w:lineRule="auto"/>
              <w:ind w:left="57" w:right="57"/>
              <w:rPr>
                <w:rFonts w:cs="Arial"/>
                <w:iCs/>
                <w:color w:val="auto"/>
                <w:lang w:val="en-US"/>
              </w:rPr>
            </w:pPr>
            <w:r>
              <w:rPr>
                <w:rFonts w:cs="Arial"/>
                <w:iCs/>
                <w:color w:val="auto"/>
                <w:lang w:val="en-US"/>
              </w:rPr>
              <w:t xml:space="preserve">For 22/23 disadvantaged children made up 53% of persistent absentees. Overall school attendance for 22/23 was 93.6%.  </w:t>
            </w:r>
          </w:p>
          <w:p>
            <w:pPr>
              <w:pStyle w:val="NormalWeb"/>
              <w:shd w:val="clear" w:color="auto" w:fill="FFFFFF"/>
              <w:spacing w:before="0" w:beforeAutospacing="0" w:after="0" w:afterAutospacing="0"/>
              <w:rPr>
                <w:rFonts w:ascii="Arial" w:hAnsi="Arial" w:cs="Arial"/>
                <w:color w:val="1F497D"/>
                <w:bdr w:val="none" w:sz="0" w:space="0" w:color="auto" w:frame="1"/>
              </w:rPr>
            </w:pPr>
            <w:r>
              <w:rPr>
                <w:rFonts w:ascii="Arial" w:hAnsi="Arial" w:cs="Arial"/>
                <w:iCs/>
                <w:lang w:val="en-US"/>
              </w:rPr>
              <w:t>Our assessments and observations indicate that absenteeism is negatively affecting disadvantaged pupils’ progress.</w:t>
            </w:r>
            <w:r>
              <w:rPr>
                <w:rFonts w:ascii="Arial" w:hAnsi="Arial" w:cs="Arial"/>
                <w:color w:val="1F497D"/>
                <w:bdr w:val="none" w:sz="0" w:space="0" w:color="auto" w:frame="1"/>
              </w:rPr>
              <w:t xml:space="preserve"> </w:t>
            </w:r>
          </w:p>
          <w:p>
            <w:pPr>
              <w:pStyle w:val="TableRowCentered"/>
              <w:jc w:val="left"/>
              <w:rPr>
                <w:iCs/>
                <w:sz w:val="22"/>
              </w:rPr>
            </w:pPr>
          </w:p>
        </w:tc>
      </w:tr>
    </w:tbl>
    <w:p>
      <w:pPr>
        <w:pStyle w:val="Heading2"/>
        <w:spacing w:before="600"/>
      </w:pPr>
      <w:bookmarkStart w:id="17" w:name="_Toc443397160"/>
      <w:r>
        <w:lastRenderedPageBreak/>
        <w:t xml:space="preserve">Intended outcomes </w:t>
      </w:r>
    </w:p>
    <w:p>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Success criteria</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ind w:left="0"/>
            </w:pPr>
            <w:r>
              <w:t>Narrowing the gap between pupils who are pupil premium and those who are not pupil premium.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t>% of children who are PP at age-related expectation is similar to non PP.</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rFonts w:cs="Arial"/>
                <w:color w:val="auto"/>
              </w:rP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szCs w:val="22"/>
              </w:rPr>
            </w:pPr>
            <w:r>
              <w:rPr>
                <w:rFonts w:cs="Arial"/>
                <w:color w:val="auto"/>
              </w:rPr>
              <w:t xml:space="preserve">Assessments and observations indicate significantly improved oral language among disadvantaged pupils. </w:t>
            </w:r>
            <w:r>
              <w:rPr>
                <w:color w:val="auto"/>
              </w:rPr>
              <w:t>This is evident when triangulated with other sources of evidence, including engagement in lessons, book scrutiny and ongoing formative assessment.</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rFonts w:cs="Arial"/>
                <w:color w:val="auto"/>
              </w:rPr>
              <w:t>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34" w:right="57"/>
              <w:rPr>
                <w:rFonts w:cs="Arial"/>
                <w:color w:val="auto"/>
              </w:rPr>
            </w:pPr>
            <w:r>
              <w:rPr>
                <w:rFonts w:cs="Arial"/>
                <w:color w:val="auto"/>
              </w:rPr>
              <w:t>High levels of wellbeing evidenced by:</w:t>
            </w:r>
          </w:p>
          <w:p>
            <w:pPr>
              <w:pStyle w:val="ListParagraph"/>
              <w:numPr>
                <w:ilvl w:val="0"/>
                <w:numId w:val="14"/>
              </w:numPr>
              <w:suppressAutoHyphens w:val="0"/>
              <w:autoSpaceDN/>
              <w:spacing w:before="60" w:after="120" w:line="240" w:lineRule="auto"/>
              <w:ind w:right="57" w:hanging="357"/>
              <w:contextualSpacing w:val="0"/>
              <w:rPr>
                <w:rFonts w:cs="Arial"/>
                <w:color w:val="auto"/>
              </w:rPr>
            </w:pPr>
            <w:r>
              <w:rPr>
                <w:rFonts w:cs="Arial"/>
                <w:color w:val="auto"/>
              </w:rPr>
              <w:t>qualitative data from student voice, student and parent surveys and teacher observations</w:t>
            </w:r>
          </w:p>
          <w:p>
            <w:pPr>
              <w:pStyle w:val="TableRowCentered"/>
              <w:numPr>
                <w:ilvl w:val="0"/>
                <w:numId w:val="14"/>
              </w:numPr>
              <w:jc w:val="left"/>
              <w:rPr>
                <w:sz w:val="22"/>
                <w:szCs w:val="22"/>
              </w:rPr>
            </w:pPr>
            <w:r>
              <w:rPr>
                <w:rFonts w:cs="Arial"/>
                <w:color w:val="auto"/>
              </w:rPr>
              <w:t xml:space="preserve">an increase in participation in enrichment activities, particularly among disadvantaged pupils.    </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sz w:val="22"/>
                <w:szCs w:val="22"/>
              </w:rPr>
            </w:pPr>
            <w:r>
              <w:rPr>
                <w:rFonts w:cs="Arial"/>
                <w:color w:val="auto"/>
              </w:rPr>
              <w:t>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right="57"/>
              <w:rPr>
                <w:rFonts w:cs="Arial"/>
                <w:color w:val="auto"/>
              </w:rPr>
            </w:pPr>
            <w:r>
              <w:rPr>
                <w:rFonts w:cs="Arial"/>
                <w:color w:val="auto"/>
              </w:rPr>
              <w:t>High attendance demonstrated by:</w:t>
            </w:r>
          </w:p>
          <w:p>
            <w:pPr>
              <w:pStyle w:val="ListParagraph"/>
              <w:numPr>
                <w:ilvl w:val="0"/>
                <w:numId w:val="15"/>
              </w:numPr>
              <w:suppressAutoHyphens w:val="0"/>
              <w:autoSpaceDN/>
              <w:spacing w:before="60" w:after="60" w:line="240" w:lineRule="auto"/>
              <w:ind w:right="57"/>
              <w:rPr>
                <w:rFonts w:cs="Arial"/>
                <w:color w:val="auto"/>
              </w:rPr>
            </w:pPr>
            <w:r>
              <w:rPr>
                <w:rFonts w:cs="Arial"/>
                <w:color w:val="auto"/>
              </w:rPr>
              <w:t>the overall attendance rate for all pupils being no less than 96%.</w:t>
            </w:r>
          </w:p>
          <w:p>
            <w:pPr>
              <w:pStyle w:val="TableRowCentered"/>
              <w:numPr>
                <w:ilvl w:val="0"/>
                <w:numId w:val="15"/>
              </w:numPr>
              <w:jc w:val="left"/>
              <w:rPr>
                <w:sz w:val="22"/>
                <w:szCs w:val="22"/>
              </w:rPr>
            </w:pPr>
            <w:r>
              <w:rPr>
                <w:rFonts w:cs="Arial"/>
                <w:color w:val="auto"/>
              </w:rPr>
              <w:t>the percentage of all pupils who are persistently absent being below 10% and the figure among disadvantaged pupils being similar to their peers.</w:t>
            </w:r>
          </w:p>
        </w:tc>
      </w:tr>
    </w:tbl>
    <w:p>
      <w:pPr>
        <w:pStyle w:val="Heading2"/>
      </w:pPr>
    </w:p>
    <w:p>
      <w:pPr>
        <w:suppressAutoHyphens w:val="0"/>
        <w:spacing w:after="0" w:line="240" w:lineRule="auto"/>
        <w:rPr>
          <w:b/>
          <w:color w:val="104F75"/>
          <w:sz w:val="32"/>
          <w:szCs w:val="32"/>
        </w:rPr>
      </w:pPr>
      <w:r>
        <w:br w:type="page"/>
      </w:r>
    </w:p>
    <w:p>
      <w:pPr>
        <w:pStyle w:val="Heading2"/>
      </w:pPr>
      <w:r>
        <w:t>Activity in this academic year</w:t>
      </w:r>
    </w:p>
    <w:p>
      <w:pPr>
        <w:spacing w:after="480"/>
      </w:pPr>
      <w:r>
        <w:t xml:space="preserve">This details how we intend to spend our pupil premium (and recovery premium funding) </w:t>
      </w:r>
      <w:r>
        <w:rPr>
          <w:b/>
          <w:bCs/>
        </w:rPr>
        <w:t>this academic year</w:t>
      </w:r>
      <w:r>
        <w:t xml:space="preserve"> to address the challenges listed above.</w:t>
      </w:r>
    </w:p>
    <w:p>
      <w:pPr>
        <w:pStyle w:val="Heading3"/>
      </w:pPr>
      <w:r>
        <w:t>Teaching (for example, CPD, recruitment and retention)</w:t>
      </w:r>
    </w:p>
    <w:p>
      <w:r>
        <w:t>Budgeted cost: £15,000</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Staff CPD around great teaching to include – oracy, meta-cognition, dialogic teaching, practice and retrieval and the use of stories.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Research evidence suggests that these teaching strategies have a significant impact on pupils’ learning, engagement  and ability to remember.</w:t>
            </w:r>
          </w:p>
          <w:p>
            <w:pPr>
              <w:pStyle w:val="TableRowCentered"/>
              <w:jc w:val="left"/>
              <w:rPr>
                <w:sz w:val="22"/>
              </w:rPr>
            </w:pPr>
          </w:p>
          <w:p>
            <w:pPr>
              <w:pStyle w:val="TableRowCentered"/>
              <w:jc w:val="left"/>
              <w:rPr>
                <w:rFonts w:cs="Arial"/>
                <w:color w:val="0070C0"/>
                <w:u w:val="single"/>
              </w:rPr>
            </w:pPr>
            <w:r>
              <w:rPr>
                <w:rFonts w:cs="Arial"/>
                <w:color w:val="0070C0"/>
                <w:u w:val="single"/>
              </w:rPr>
              <w:t>Walkthrus – metacognition and practice and retrieval</w:t>
            </w:r>
          </w:p>
          <w:p>
            <w:pPr>
              <w:pStyle w:val="TableRowCentered"/>
              <w:jc w:val="left"/>
              <w:rPr>
                <w:rFonts w:cs="Arial"/>
                <w:color w:val="0070C0"/>
                <w:u w:val="single"/>
              </w:rPr>
            </w:pPr>
            <w:r>
              <w:rPr>
                <w:rFonts w:cs="Arial"/>
                <w:color w:val="0070C0"/>
                <w:u w:val="single"/>
              </w:rPr>
              <w:t>Dialogic teaching</w:t>
            </w:r>
          </w:p>
          <w:p>
            <w:pPr>
              <w:pStyle w:val="TableRowCentered"/>
              <w:jc w:val="left"/>
              <w:rPr>
                <w:rFonts w:cs="Arial"/>
                <w:color w:val="0070C0"/>
                <w:u w:val="single"/>
              </w:rPr>
            </w:pPr>
            <w:r>
              <w:rPr>
                <w:rFonts w:cs="Arial"/>
                <w:color w:val="0070C0"/>
                <w:u w:val="single"/>
              </w:rPr>
              <w:t>Mary Myatt stores</w:t>
            </w:r>
          </w:p>
          <w:p>
            <w:pPr>
              <w:pStyle w:val="TableRowCentered"/>
              <w:jc w:val="left"/>
              <w:rPr>
                <w:rFonts w:cs="Arial"/>
                <w:color w:val="0070C0"/>
                <w:u w:val="single"/>
              </w:rPr>
            </w:pPr>
          </w:p>
          <w:p>
            <w:pPr>
              <w:pStyle w:val="TableRowCentered"/>
              <w:jc w:val="left"/>
              <w:rPr>
                <w:sz w:val="22"/>
              </w:rPr>
            </w:pPr>
            <w:hyperlink r:id="rId7" w:history="1">
              <w:r>
                <w:rPr>
                  <w:rFonts w:cs="Arial"/>
                  <w:color w:val="0070C0"/>
                  <w:u w:val="single"/>
                </w:rPr>
                <w:t>Oral language interventions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 and 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r>
              <w:rPr>
                <w:rFonts w:cs="Arial"/>
                <w:iCs/>
                <w:color w:val="auto"/>
              </w:rPr>
              <w:t xml:space="preserve">Purchase of a </w:t>
            </w:r>
            <w:hyperlink r:id="rId8" w:history="1">
              <w:r>
                <w:rPr>
                  <w:rStyle w:val="Hyperlink"/>
                  <w:rFonts w:cs="Arial"/>
                  <w:iCs/>
                  <w:color w:val="0070C0"/>
                </w:rPr>
                <w:t>D</w:t>
              </w:r>
              <w:r>
                <w:rPr>
                  <w:rStyle w:val="Hyperlink"/>
                  <w:color w:val="0070C0"/>
                </w:rPr>
                <w:t xml:space="preserve">fE </w:t>
              </w:r>
              <w:r>
                <w:rPr>
                  <w:rStyle w:val="Hyperlink"/>
                  <w:rFonts w:cs="Arial"/>
                  <w:iCs/>
                  <w:color w:val="0070C0"/>
                </w:rPr>
                <w:t>validated Systematic Synthetic Phonics programme</w:t>
              </w:r>
            </w:hyperlink>
            <w:r>
              <w:rPr>
                <w:rFonts w:cs="Arial"/>
                <w:iCs/>
                <w:color w:val="auto"/>
              </w:rPr>
              <w:t xml:space="preserve">  -Supersonic Phonics = we have had two training sessions 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rFonts w:cs="Arial"/>
                <w:color w:val="auto"/>
                <w:szCs w:val="24"/>
              </w:rPr>
            </w:pPr>
            <w:r>
              <w:rPr>
                <w:rFonts w:cs="Arial"/>
                <w:color w:val="auto"/>
                <w:szCs w:val="24"/>
              </w:rPr>
              <w:t xml:space="preserve">Phonics approaches have a strong evidence base that indicates a positive impact on the accuracy of word reading (though not necessarily comprehension), particularly for disadvantaged pupils: </w:t>
            </w:r>
          </w:p>
          <w:p>
            <w:pPr>
              <w:pStyle w:val="TableRowCentered"/>
              <w:jc w:val="left"/>
              <w:rPr>
                <w:sz w:val="22"/>
              </w:rPr>
            </w:pPr>
            <w:hyperlink r:id="rId9" w:history="1">
              <w:r>
                <w:rPr>
                  <w:color w:val="0070C0"/>
                  <w:szCs w:val="24"/>
                  <w:u w:val="single"/>
                </w:rPr>
                <w:t>Phonics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 and 2</w:t>
            </w:r>
          </w:p>
        </w:tc>
      </w:tr>
    </w:tbl>
    <w:p>
      <w:pPr>
        <w:keepNext/>
        <w:spacing w:after="60"/>
        <w:outlineLvl w:val="1"/>
      </w:pPr>
    </w:p>
    <w:p>
      <w:pPr>
        <w:rPr>
          <w:b/>
          <w:bCs/>
          <w:color w:val="104F75"/>
          <w:sz w:val="28"/>
          <w:szCs w:val="28"/>
        </w:rPr>
      </w:pPr>
      <w:r>
        <w:rPr>
          <w:b/>
          <w:bCs/>
          <w:color w:val="104F75"/>
          <w:sz w:val="28"/>
          <w:szCs w:val="28"/>
        </w:rPr>
        <w:t xml:space="preserve">Targeted academic support (for example, tutoring, one-to-one support structured interventions)  </w:t>
      </w:r>
    </w:p>
    <w:p>
      <w:r>
        <w:t>Budgeted cost: £25,000</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rPr>
                <w:rFonts w:cs="Arial"/>
                <w:iCs/>
                <w:color w:val="auto"/>
                <w:lang w:val="en-US"/>
              </w:rPr>
              <w:t>Engaging with the National Tutoring Pro-gramme to provide a blend of tuition, mentoring and school-led tutoring for pupils whose education has been most impacted by the pandemic. A significant proportion are disadvantaged, including those who are high attainers.</w:t>
            </w:r>
            <w:r>
              <w:t>Designated teacher providing targeted support, pre-learning and 1:1 tuition. To include speaking and listening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60" w:after="60" w:line="240" w:lineRule="auto"/>
              <w:ind w:left="57" w:right="57"/>
              <w:rPr>
                <w:color w:val="auto"/>
              </w:rPr>
            </w:pPr>
            <w:r>
              <w:rPr>
                <w:color w:val="auto"/>
              </w:rPr>
              <w:t>Tuition targeted at specific needs and knowledge gaps can be an effective method to support low attaining pupils or those falling behind, both one-to-one:</w:t>
            </w:r>
          </w:p>
          <w:p>
            <w:pPr>
              <w:suppressAutoHyphens w:val="0"/>
              <w:autoSpaceDN/>
              <w:spacing w:before="60" w:after="60" w:line="240" w:lineRule="auto"/>
              <w:ind w:left="57" w:right="57"/>
              <w:rPr>
                <w:color w:val="0070C0"/>
              </w:rPr>
            </w:pPr>
            <w:hyperlink r:id="rId10" w:history="1">
              <w:r>
                <w:rPr>
                  <w:color w:val="0070C0"/>
                  <w:u w:val="single"/>
                </w:rPr>
                <w:t>One to one tuition | EEF (educationendowmentfoundation.org.uk)</w:t>
              </w:r>
            </w:hyperlink>
          </w:p>
          <w:p>
            <w:pPr>
              <w:suppressAutoHyphens w:val="0"/>
              <w:autoSpaceDN/>
              <w:spacing w:before="60" w:after="60" w:line="240" w:lineRule="auto"/>
              <w:ind w:left="57" w:right="57"/>
              <w:rPr>
                <w:color w:val="auto"/>
              </w:rPr>
            </w:pPr>
            <w:r>
              <w:rPr>
                <w:color w:val="auto"/>
              </w:rPr>
              <w:t>And in small groups:</w:t>
            </w:r>
          </w:p>
          <w:p>
            <w:pPr>
              <w:pStyle w:val="TableRowCentered"/>
              <w:jc w:val="left"/>
              <w:rPr>
                <w:sz w:val="22"/>
              </w:rPr>
            </w:pPr>
            <w:hyperlink r:id="rId11" w:history="1">
              <w:r>
                <w:rPr>
                  <w:color w:val="0070C0"/>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1 and 2</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p>
        </w:tc>
      </w:tr>
    </w:tbl>
    <w:p>
      <w:pPr>
        <w:spacing w:after="0"/>
        <w:rPr>
          <w:b/>
          <w:color w:val="104F75"/>
          <w:sz w:val="28"/>
          <w:szCs w:val="28"/>
        </w:rPr>
      </w:pPr>
    </w:p>
    <w:p>
      <w:pPr>
        <w:rPr>
          <w:b/>
          <w:color w:val="104F75"/>
          <w:sz w:val="28"/>
          <w:szCs w:val="28"/>
        </w:rPr>
      </w:pPr>
      <w:r>
        <w:rPr>
          <w:b/>
          <w:color w:val="104F75"/>
          <w:sz w:val="28"/>
          <w:szCs w:val="28"/>
        </w:rPr>
        <w:t>Wider strategies (for example, related to attendance, behaviour, wellbeing)</w:t>
      </w:r>
    </w:p>
    <w:p>
      <w:pPr>
        <w:spacing w:before="240" w:after="120"/>
      </w:pPr>
      <w:r>
        <w:t>Budgeted cost: £ 8,036</w:t>
      </w:r>
    </w:p>
    <w:tbl>
      <w:tblPr>
        <w:tblW w:w="5000" w:type="pct"/>
        <w:tblCellMar>
          <w:left w:w="10" w:type="dxa"/>
          <w:right w:w="10" w:type="dxa"/>
        </w:tblCellMar>
        <w:tblLook w:val="04A0" w:firstRow="1" w:lastRow="0" w:firstColumn="1" w:lastColumn="0" w:noHBand="0" w:noVBand="1"/>
      </w:tblPr>
      <w:tblGrid>
        <w:gridCol w:w="2688"/>
        <w:gridCol w:w="4254"/>
        <w:gridCol w:w="2544"/>
      </w:tblGrid>
      <w:tr>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Challenge number(s) addressed</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rPr>
                <w:iCs/>
              </w:rPr>
            </w:pPr>
            <w:r>
              <w:rPr>
                <w:iCs/>
              </w:rPr>
              <w:t>Enrichment opportunities, examples: Trikids, climbing wall, gymnastics, curling, choir festival, athlete visits, police and fire brigade visits.</w:t>
            </w:r>
          </w:p>
          <w:p>
            <w:pPr>
              <w:pStyle w:val="TableRow"/>
            </w:pPr>
            <w:r>
              <w:rPr>
                <w:iCs/>
              </w:rPr>
              <w:t>Play therapy. Breakfast club.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Extracurricular activities are an important part of education in its own right.  These approaches may increase engagement in learning.   </w:t>
            </w:r>
          </w:p>
          <w:p>
            <w:pPr>
              <w:pStyle w:val="TableRowCentered"/>
              <w:jc w:val="left"/>
              <w:rPr>
                <w:sz w:val="22"/>
              </w:rPr>
            </w:pPr>
          </w:p>
          <w:p>
            <w:pPr>
              <w:pStyle w:val="TableRowCentered"/>
              <w:jc w:val="left"/>
              <w:rPr>
                <w:sz w:val="22"/>
              </w:rPr>
            </w:pPr>
            <w:r>
              <w:rPr>
                <w:sz w:val="22"/>
              </w:rPr>
              <w:t xml:space="preserve">The EEF Toolkit has a strand on arts participation. </w:t>
            </w:r>
          </w:p>
          <w:p>
            <w:pPr>
              <w:pStyle w:val="TableRowCentered"/>
              <w:jc w:val="left"/>
              <w:rPr>
                <w:sz w:val="22"/>
              </w:rPr>
            </w:pPr>
          </w:p>
          <w:p>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 xml:space="preserve">3 and 4 </w:t>
            </w:r>
          </w:p>
        </w:tc>
      </w:tr>
      <w:t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spacing w:after="120"/>
              <w:ind w:left="29"/>
              <w:rPr>
                <w:iCs/>
                <w:color w:val="auto"/>
                <w:szCs w:val="28"/>
                <w:lang w:val="en-US"/>
              </w:rPr>
            </w:pPr>
            <w:r>
              <w:rPr>
                <w:iCs/>
                <w:color w:val="auto"/>
                <w:szCs w:val="28"/>
                <w:lang w:val="en-US"/>
              </w:rPr>
              <w:t xml:space="preserve">Embedding principles of good practice set out in the DfE’s </w:t>
            </w:r>
            <w:hyperlink r:id="rId12" w:history="1">
              <w:r>
                <w:rPr>
                  <w:rStyle w:val="Hyperlink"/>
                  <w:iCs/>
                  <w:color w:val="0070C0"/>
                  <w:szCs w:val="28"/>
                  <w:lang w:val="en-US"/>
                </w:rPr>
                <w:t>Improving School Attendance</w:t>
              </w:r>
            </w:hyperlink>
            <w:r>
              <w:rPr>
                <w:iCs/>
                <w:color w:val="0070C0"/>
                <w:szCs w:val="28"/>
                <w:lang w:val="en-US"/>
              </w:rPr>
              <w:t xml:space="preserve"> </w:t>
            </w:r>
            <w:r>
              <w:rPr>
                <w:iCs/>
                <w:color w:val="auto"/>
                <w:szCs w:val="28"/>
                <w:lang w:val="en-US"/>
              </w:rPr>
              <w:t>advice.</w:t>
            </w:r>
          </w:p>
          <w:p>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color w:val="auto"/>
              </w:rPr>
              <w:t>DfE guidance has been informed by  schools that have significantly reduced levels of absence and persistent absence.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rPr>
                <w:sz w:val="22"/>
              </w:rPr>
            </w:pPr>
            <w:r>
              <w:rPr>
                <w:sz w:val="22"/>
              </w:rPr>
              <w:t>4</w:t>
            </w:r>
          </w:p>
        </w:tc>
      </w:tr>
    </w:tbl>
    <w:p>
      <w:pPr>
        <w:spacing w:before="240" w:after="0"/>
        <w:rPr>
          <w:b/>
          <w:bCs/>
          <w:color w:val="104F75"/>
          <w:sz w:val="28"/>
          <w:szCs w:val="28"/>
        </w:rPr>
      </w:pPr>
    </w:p>
    <w:p>
      <w:r>
        <w:rPr>
          <w:b/>
          <w:bCs/>
          <w:color w:val="104F75"/>
          <w:sz w:val="28"/>
          <w:szCs w:val="28"/>
        </w:rPr>
        <w:t>Total budgeted cost: £48,036</w:t>
      </w:r>
    </w:p>
    <w:p>
      <w:pPr>
        <w:pStyle w:val="Heading1"/>
      </w:pPr>
      <w:r>
        <w:t>Part B: Review of outcomes in the previous academic year</w:t>
      </w:r>
    </w:p>
    <w:p>
      <w:pPr>
        <w:pStyle w:val="Heading2"/>
      </w:pPr>
      <w:r>
        <w:t>Pupil premium strategy outcomes</w:t>
      </w:r>
    </w:p>
    <w:p>
      <w:r>
        <w:t xml:space="preserve">This details the impact that our pupil premium activity had on pupils in the 2021 to 2022 academic year. </w:t>
      </w:r>
    </w:p>
    <w:tbl>
      <w:tblPr>
        <w:tblW w:w="9493" w:type="dxa"/>
        <w:tblCellMar>
          <w:left w:w="10" w:type="dxa"/>
          <w:right w:w="10" w:type="dxa"/>
        </w:tblCellMar>
        <w:tblLook w:val="04A0" w:firstRow="1" w:lastRow="0" w:firstColumn="1" w:lastColumn="0" w:noHBand="0" w:noVBand="1"/>
      </w:tblPr>
      <w:tblGrid>
        <w:gridCol w:w="9493"/>
      </w:tblGrid>
      <w:tr>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uppressAutoHyphens w:val="0"/>
              <w:autoSpaceDN/>
              <w:spacing w:before="120"/>
              <w:rPr>
                <w:color w:val="auto"/>
                <w:lang w:eastAsia="en-US"/>
              </w:rPr>
            </w:pPr>
            <w:r>
              <w:rPr>
                <w:color w:val="auto"/>
                <w:lang w:eastAsia="en-US"/>
              </w:rPr>
              <w:t xml:space="preserve">Our internal assessments and diagnostic assessments during 2021/22 suggested that the performance of disadvantaged pupils in most classes was lower than in the previous years in reading, writing and maths. </w:t>
            </w:r>
          </w:p>
          <w:p>
            <w:pPr>
              <w:suppressAutoHyphens w:val="0"/>
              <w:autoSpaceDN/>
              <w:spacing w:before="120"/>
              <w:rPr>
                <w:color w:val="auto"/>
                <w:lang w:eastAsia="en-US"/>
              </w:rPr>
            </w:pPr>
            <w:r>
              <w:rPr>
                <w:color w:val="auto"/>
                <w:lang w:eastAsia="en-US"/>
              </w:rPr>
              <w:t>Our assessment of the reasons for these outcomes points primarily to Covid-19 impact, which disrupted all our subject areas.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online resources such as those provided by Oak National Academy.</w:t>
            </w:r>
          </w:p>
          <w:p>
            <w:pPr>
              <w:pStyle w:val="NormalWeb"/>
              <w:shd w:val="clear" w:color="auto" w:fill="FFFFFF"/>
              <w:spacing w:before="0" w:beforeAutospacing="0" w:after="0" w:afterAutospacing="0"/>
              <w:rPr>
                <w:rFonts w:ascii="Arial" w:hAnsi="Arial" w:cs="Arial"/>
                <w:color w:val="242424"/>
              </w:rPr>
            </w:pPr>
            <w:r>
              <w:rPr>
                <w:rFonts w:ascii="Arial" w:hAnsi="Arial" w:cs="Arial"/>
                <w:color w:val="1F497D"/>
                <w:bdr w:val="none" w:sz="0" w:space="0" w:color="auto" w:frame="1"/>
              </w:rPr>
              <w:t>Overall school attendance has remained low over the last 3 years at:</w:t>
            </w:r>
          </w:p>
          <w:p>
            <w:pPr>
              <w:pStyle w:val="NormalWeb"/>
              <w:shd w:val="clear" w:color="auto" w:fill="FFFFFF"/>
              <w:spacing w:before="0" w:beforeAutospacing="0" w:after="0" w:afterAutospacing="0"/>
              <w:rPr>
                <w:rFonts w:ascii="Arial" w:hAnsi="Arial" w:cs="Arial"/>
                <w:color w:val="242424"/>
              </w:rPr>
            </w:pPr>
            <w:r>
              <w:rPr>
                <w:rFonts w:ascii="Arial" w:hAnsi="Arial" w:cs="Arial"/>
                <w:color w:val="1F497D"/>
                <w:bdr w:val="none" w:sz="0" w:space="0" w:color="auto" w:frame="1"/>
              </w:rPr>
              <w:t>2019-20 = 93.6%</w:t>
            </w:r>
          </w:p>
          <w:p>
            <w:pPr>
              <w:pStyle w:val="NormalWeb"/>
              <w:shd w:val="clear" w:color="auto" w:fill="FFFFFF"/>
              <w:spacing w:before="0" w:beforeAutospacing="0" w:after="0" w:afterAutospacing="0"/>
              <w:rPr>
                <w:rFonts w:ascii="Arial" w:hAnsi="Arial" w:cs="Arial"/>
                <w:color w:val="242424"/>
              </w:rPr>
            </w:pPr>
            <w:r>
              <w:rPr>
                <w:rFonts w:ascii="Arial" w:hAnsi="Arial" w:cs="Arial"/>
                <w:color w:val="1F497D"/>
                <w:bdr w:val="none" w:sz="0" w:space="0" w:color="auto" w:frame="1"/>
              </w:rPr>
              <w:t>2020-21 = 95.1%</w:t>
            </w:r>
          </w:p>
          <w:p>
            <w:pPr>
              <w:pStyle w:val="NormalWeb"/>
              <w:shd w:val="clear" w:color="auto" w:fill="FFFFFF"/>
              <w:spacing w:before="0" w:beforeAutospacing="0" w:after="0" w:afterAutospacing="0"/>
              <w:rPr>
                <w:rFonts w:ascii="Arial" w:hAnsi="Arial" w:cs="Arial"/>
                <w:color w:val="1F497D"/>
                <w:bdr w:val="none" w:sz="0" w:space="0" w:color="auto" w:frame="1"/>
              </w:rPr>
            </w:pPr>
            <w:r>
              <w:rPr>
                <w:rFonts w:ascii="Arial" w:hAnsi="Arial" w:cs="Arial"/>
                <w:color w:val="1F497D"/>
                <w:bdr w:val="none" w:sz="0" w:space="0" w:color="auto" w:frame="1"/>
              </w:rPr>
              <w:t>2021-22 = 92.1%</w:t>
            </w:r>
          </w:p>
          <w:p>
            <w:pPr>
              <w:pStyle w:val="NormalWeb"/>
              <w:shd w:val="clear" w:color="auto" w:fill="FFFFFF"/>
              <w:spacing w:before="0" w:beforeAutospacing="0" w:after="0" w:afterAutospacing="0"/>
              <w:rPr>
                <w:rFonts w:ascii="Arial" w:hAnsi="Arial" w:cs="Arial"/>
                <w:color w:val="242424"/>
              </w:rPr>
            </w:pPr>
          </w:p>
          <w:p>
            <w:pPr>
              <w:suppressAutoHyphens w:val="0"/>
              <w:autoSpaceDN/>
              <w:spacing w:before="60" w:after="120" w:line="240" w:lineRule="auto"/>
              <w:ind w:right="57"/>
              <w:rPr>
                <w:rFonts w:cs="Arial"/>
                <w:iCs/>
                <w:color w:val="auto"/>
                <w:lang w:val="en-US"/>
              </w:rPr>
            </w:pPr>
            <w:r>
              <w:rPr>
                <w:rFonts w:cs="Arial"/>
                <w:iCs/>
                <w:color w:val="auto"/>
                <w:lang w:val="en-US"/>
              </w:rPr>
              <w:t xml:space="preserve">Our attendance data indicates that attendance among disadvantaged pupils has been between similar to that of other pupils (19/20 and 20/21).   </w:t>
            </w:r>
          </w:p>
          <w:p>
            <w:pPr>
              <w:suppressAutoHyphens w:val="0"/>
              <w:autoSpaceDN/>
              <w:spacing w:before="60" w:after="120" w:line="240" w:lineRule="auto"/>
              <w:ind w:right="57"/>
              <w:rPr>
                <w:rFonts w:cs="Arial"/>
                <w:iCs/>
                <w:color w:val="auto"/>
                <w:lang w:val="en-US"/>
              </w:rPr>
            </w:pPr>
            <w:r>
              <w:rPr>
                <w:rFonts w:cs="Arial"/>
                <w:iCs/>
                <w:color w:val="auto"/>
                <w:lang w:val="en-US"/>
              </w:rPr>
              <w:t>In the school year 21/22 disadvantaged pupils’ persistent absence was 21% higher than for non-disadvantaged pupils.  This gap is much larger than in previous year, which is why attendance is a focus in our current plan.</w:t>
            </w:r>
          </w:p>
          <w:p>
            <w:pPr>
              <w:rPr>
                <w:color w:val="auto"/>
                <w:lang w:eastAsia="en-US"/>
              </w:rPr>
            </w:pPr>
            <w:r>
              <w:rPr>
                <w:color w:val="auto"/>
                <w:lang w:eastAsia="en-US"/>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p>
            <w:r>
              <w:t xml:space="preserve">Children in crisis have been well-supported with play therapy. </w:t>
            </w:r>
          </w:p>
        </w:tc>
      </w:tr>
    </w:tbl>
    <w:p>
      <w:pPr>
        <w:pStyle w:val="Heading2"/>
        <w:spacing w:before="600"/>
      </w:pPr>
    </w:p>
    <w:p>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pPr>
              <w:pStyle w:val="TableHeader"/>
              <w:jc w:val="left"/>
            </w:pPr>
            <w:r>
              <w:t>Provider</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Play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pPr>
            <w:r>
              <w:t>Child Action North West</w:t>
            </w:r>
          </w:p>
        </w:tc>
      </w:tr>
      <w:t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
            </w:pPr>
            <w:r>
              <w:t>Supersonic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pStyle w:val="TableRowCentered"/>
              <w:jc w:val="left"/>
            </w:pPr>
            <w:r>
              <w:t>Supersonic Phonics</w:t>
            </w:r>
          </w:p>
        </w:tc>
      </w:tr>
    </w:tbl>
    <w:p>
      <w:pPr>
        <w:spacing w:after="0" w:line="240" w:lineRule="auto"/>
      </w:pPr>
    </w:p>
    <w:bookmarkEnd w:id="15"/>
    <w:bookmarkEnd w:id="16"/>
    <w:bookmarkEnd w:id="17"/>
    <w:p/>
    <w:sectPr>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firstLine="4513"/>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F54804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D3426CA"/>
    <w:multiLevelType w:val="hybridMultilevel"/>
    <w:tmpl w:val="5D7A9A3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6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oosing-a-phonics-teaching-program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small-group-tu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ationendowmentfoundation.org.uk/education-evidence/teaching-learning-toolkit/one-to-one-tuition"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 Walters</cp:lastModifiedBy>
  <cp:revision>2</cp:revision>
  <cp:lastPrinted>2022-09-16T10:38:00Z</cp:lastPrinted>
  <dcterms:created xsi:type="dcterms:W3CDTF">2024-01-25T11:26:00Z</dcterms:created>
  <dcterms:modified xsi:type="dcterms:W3CDTF">2024-01-25T11:26:00Z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